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69297" w14:textId="09D91BD1" w:rsidR="008172FB" w:rsidRPr="008172FB" w:rsidRDefault="008172FB" w:rsidP="008172FB">
      <w:pPr>
        <w:bidi/>
        <w:spacing w:after="0" w:line="240" w:lineRule="auto"/>
        <w:rPr>
          <w:rFonts w:ascii="Calibri" w:hAnsi="Calibri" w:cs="Calibri"/>
          <w:b/>
          <w:bCs/>
          <w:color w:val="77BC43"/>
          <w:sz w:val="40"/>
          <w:szCs w:val="40"/>
          <w:rtl/>
        </w:rPr>
      </w:pPr>
      <w:r w:rsidRPr="008172FB">
        <w:rPr>
          <w:rFonts w:ascii="Calibri" w:hAnsi="Calibri" w:cs="Calibri" w:hint="cs"/>
          <w:b/>
          <w:bCs/>
          <w:color w:val="77BC43"/>
          <w:sz w:val="40"/>
          <w:szCs w:val="40"/>
          <w:rtl/>
        </w:rPr>
        <w:t>نتائج</w:t>
      </w:r>
      <w:r w:rsidRPr="008172FB">
        <w:rPr>
          <w:rFonts w:ascii="Calibri" w:hAnsi="Calibri" w:cs="Calibri"/>
          <w:b/>
          <w:bCs/>
          <w:color w:val="77BC43"/>
          <w:sz w:val="40"/>
          <w:szCs w:val="40"/>
          <w:rtl/>
        </w:rPr>
        <w:t xml:space="preserve"> </w:t>
      </w:r>
      <w:r w:rsidRPr="008172FB">
        <w:rPr>
          <w:rFonts w:ascii="Calibri" w:hAnsi="Calibri" w:cs="Calibri" w:hint="cs"/>
          <w:b/>
          <w:bCs/>
          <w:color w:val="77BC43"/>
          <w:sz w:val="40"/>
          <w:szCs w:val="40"/>
          <w:rtl/>
        </w:rPr>
        <w:t>اجتماع</w:t>
      </w:r>
      <w:r w:rsidRPr="008172FB">
        <w:rPr>
          <w:rFonts w:ascii="Calibri" w:hAnsi="Calibri" w:cs="Calibri"/>
          <w:b/>
          <w:bCs/>
          <w:color w:val="77BC43"/>
          <w:sz w:val="40"/>
          <w:szCs w:val="40"/>
          <w:rtl/>
        </w:rPr>
        <w:t xml:space="preserve"> </w:t>
      </w:r>
      <w:r w:rsidRPr="008172FB">
        <w:rPr>
          <w:rFonts w:ascii="Calibri" w:hAnsi="Calibri" w:cs="Calibri" w:hint="cs"/>
          <w:b/>
          <w:bCs/>
          <w:color w:val="77BC43"/>
          <w:sz w:val="40"/>
          <w:szCs w:val="40"/>
          <w:rtl/>
        </w:rPr>
        <w:t>الجمعية</w:t>
      </w:r>
      <w:r w:rsidRPr="008172FB">
        <w:rPr>
          <w:rFonts w:ascii="Calibri" w:hAnsi="Calibri" w:cs="Calibri"/>
          <w:b/>
          <w:bCs/>
          <w:color w:val="77BC43"/>
          <w:sz w:val="40"/>
          <w:szCs w:val="40"/>
          <w:rtl/>
        </w:rPr>
        <w:t xml:space="preserve"> </w:t>
      </w:r>
      <w:r w:rsidRPr="008172FB">
        <w:rPr>
          <w:rFonts w:ascii="Calibri" w:hAnsi="Calibri" w:cs="Calibri" w:hint="cs"/>
          <w:b/>
          <w:bCs/>
          <w:color w:val="77BC43"/>
          <w:sz w:val="40"/>
          <w:szCs w:val="40"/>
          <w:rtl/>
        </w:rPr>
        <w:t>العامة</w:t>
      </w:r>
      <w:r w:rsidRPr="008172FB">
        <w:rPr>
          <w:rFonts w:ascii="Calibri" w:hAnsi="Calibri" w:cs="Calibri"/>
          <w:b/>
          <w:bCs/>
          <w:color w:val="77BC43"/>
          <w:sz w:val="40"/>
          <w:szCs w:val="40"/>
          <w:rtl/>
        </w:rPr>
        <w:t xml:space="preserve"> </w:t>
      </w:r>
      <w:r w:rsidRPr="008172FB">
        <w:rPr>
          <w:rFonts w:ascii="Calibri" w:hAnsi="Calibri" w:cs="Calibri" w:hint="cs"/>
          <w:b/>
          <w:bCs/>
          <w:color w:val="77BC43"/>
          <w:sz w:val="40"/>
          <w:szCs w:val="40"/>
          <w:rtl/>
        </w:rPr>
        <w:t>العادية</w:t>
      </w:r>
    </w:p>
    <w:p w14:paraId="0C829D4C" w14:textId="77777777" w:rsidR="008172FB" w:rsidRDefault="008172FB" w:rsidP="008172FB">
      <w:pPr>
        <w:bidi/>
        <w:spacing w:after="0" w:line="240" w:lineRule="auto"/>
        <w:rPr>
          <w:rFonts w:ascii="Calibri" w:hAnsi="Calibri" w:cs="Calibri"/>
          <w:b/>
          <w:bCs/>
          <w:color w:val="77BC43"/>
          <w:sz w:val="40"/>
          <w:szCs w:val="40"/>
          <w:rtl/>
        </w:rPr>
      </w:pPr>
      <w:r w:rsidRPr="008172FB">
        <w:rPr>
          <w:rFonts w:ascii="Calibri" w:hAnsi="Calibri" w:cs="Calibri" w:hint="cs"/>
          <w:b/>
          <w:bCs/>
          <w:color w:val="77BC43"/>
          <w:sz w:val="40"/>
          <w:szCs w:val="40"/>
          <w:rtl/>
        </w:rPr>
        <w:t>شركة</w:t>
      </w:r>
      <w:r w:rsidRPr="008172FB">
        <w:rPr>
          <w:rFonts w:ascii="Calibri" w:hAnsi="Calibri" w:cs="Calibri"/>
          <w:b/>
          <w:bCs/>
          <w:color w:val="77BC43"/>
          <w:sz w:val="40"/>
          <w:szCs w:val="40"/>
          <w:rtl/>
        </w:rPr>
        <w:t xml:space="preserve"> </w:t>
      </w:r>
      <w:r w:rsidRPr="008172FB">
        <w:rPr>
          <w:rFonts w:ascii="Calibri" w:hAnsi="Calibri" w:cs="Calibri" w:hint="cs"/>
          <w:b/>
          <w:bCs/>
          <w:color w:val="77BC43"/>
          <w:sz w:val="40"/>
          <w:szCs w:val="40"/>
          <w:rtl/>
        </w:rPr>
        <w:t>الزامل</w:t>
      </w:r>
      <w:r w:rsidRPr="008172FB">
        <w:rPr>
          <w:rFonts w:ascii="Calibri" w:hAnsi="Calibri" w:cs="Calibri"/>
          <w:b/>
          <w:bCs/>
          <w:color w:val="77BC43"/>
          <w:sz w:val="40"/>
          <w:szCs w:val="40"/>
          <w:rtl/>
        </w:rPr>
        <w:t xml:space="preserve"> </w:t>
      </w:r>
      <w:r w:rsidRPr="008172FB">
        <w:rPr>
          <w:rFonts w:ascii="Calibri" w:hAnsi="Calibri" w:cs="Calibri" w:hint="cs"/>
          <w:b/>
          <w:bCs/>
          <w:color w:val="77BC43"/>
          <w:sz w:val="40"/>
          <w:szCs w:val="40"/>
          <w:rtl/>
        </w:rPr>
        <w:t>للاستثمار</w:t>
      </w:r>
      <w:r w:rsidRPr="008172FB">
        <w:rPr>
          <w:rFonts w:ascii="Calibri" w:hAnsi="Calibri" w:cs="Calibri"/>
          <w:b/>
          <w:bCs/>
          <w:color w:val="77BC43"/>
          <w:sz w:val="40"/>
          <w:szCs w:val="40"/>
          <w:rtl/>
        </w:rPr>
        <w:t xml:space="preserve"> </w:t>
      </w:r>
      <w:r w:rsidRPr="008172FB">
        <w:rPr>
          <w:rFonts w:ascii="Calibri" w:hAnsi="Calibri" w:cs="Calibri" w:hint="cs"/>
          <w:b/>
          <w:bCs/>
          <w:color w:val="77BC43"/>
          <w:sz w:val="40"/>
          <w:szCs w:val="40"/>
          <w:rtl/>
        </w:rPr>
        <w:t>الصناعي</w:t>
      </w:r>
    </w:p>
    <w:p w14:paraId="0F70F520" w14:textId="3F5B2816" w:rsidR="006E4407" w:rsidRPr="007A7E9F" w:rsidRDefault="00FC3CF7" w:rsidP="008172FB">
      <w:pPr>
        <w:bidi/>
        <w:spacing w:after="0" w:line="240" w:lineRule="auto"/>
        <w:rPr>
          <w:rFonts w:ascii="Calibri" w:hAnsi="Calibri" w:cs="Calibri"/>
          <w:b/>
          <w:bCs/>
          <w:rtl/>
        </w:rPr>
      </w:pPr>
      <w:r w:rsidRPr="007A7E9F">
        <w:rPr>
          <w:rFonts w:ascii="Calibri" w:hAnsi="Calibri" w:cs="Calibri" w:hint="cs"/>
          <w:b/>
          <w:bCs/>
          <w:rtl/>
        </w:rPr>
        <w:t>التاريخ:</w:t>
      </w:r>
      <w:r w:rsidR="00E86D2E" w:rsidRPr="007A7E9F">
        <w:rPr>
          <w:rFonts w:ascii="Calibri" w:hAnsi="Calibri" w:cs="Calibri" w:hint="cs"/>
          <w:b/>
          <w:bCs/>
          <w:rtl/>
        </w:rPr>
        <w:t xml:space="preserve"> </w:t>
      </w:r>
      <w:r w:rsidR="008172FB" w:rsidRPr="007A7E9F">
        <w:rPr>
          <w:rFonts w:ascii="Calibri" w:hAnsi="Calibri" w:cs="Calibri"/>
          <w:b/>
          <w:bCs/>
          <w:rtl/>
        </w:rPr>
        <w:t>الخميس 02/12/1446هـ الموافق 29/05/2025م</w:t>
      </w:r>
    </w:p>
    <w:p w14:paraId="78BA683E" w14:textId="7E25E0B5" w:rsidR="00FC3CF7" w:rsidRDefault="00FC3CF7" w:rsidP="002E6A4B">
      <w:pPr>
        <w:bidi/>
        <w:spacing w:after="0" w:line="240" w:lineRule="auto"/>
        <w:rPr>
          <w:rFonts w:ascii="Calibri" w:hAnsi="Calibri" w:cs="Calibri"/>
          <w:b/>
          <w:bCs/>
          <w:sz w:val="26"/>
          <w:szCs w:val="26"/>
          <w:rtl/>
        </w:rPr>
      </w:pPr>
    </w:p>
    <w:p w14:paraId="0E2A691B" w14:textId="0C0EF346" w:rsidR="008172FB" w:rsidRDefault="008172FB" w:rsidP="008172FB">
      <w:pPr>
        <w:bidi/>
        <w:spacing w:after="0" w:line="240" w:lineRule="auto"/>
        <w:rPr>
          <w:rFonts w:ascii="Calibri" w:hAnsi="Calibri" w:cs="Calibri"/>
          <w:b/>
          <w:bCs/>
          <w:sz w:val="26"/>
          <w:szCs w:val="26"/>
          <w:rtl/>
        </w:rPr>
      </w:pPr>
    </w:p>
    <w:p w14:paraId="34977C54" w14:textId="77777777" w:rsidR="008172FB" w:rsidRPr="00B23951" w:rsidRDefault="008172FB" w:rsidP="008172FB">
      <w:pPr>
        <w:bidi/>
        <w:spacing w:after="0" w:line="240" w:lineRule="auto"/>
        <w:rPr>
          <w:rFonts w:ascii="Calibri" w:hAnsi="Calibri" w:cs="Calibri"/>
          <w:b/>
          <w:bCs/>
          <w:sz w:val="26"/>
          <w:szCs w:val="26"/>
          <w:rtl/>
        </w:rPr>
      </w:pPr>
    </w:p>
    <w:tbl>
      <w:tblPr>
        <w:bidiVisual/>
        <w:tblW w:w="10368"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440"/>
        <w:gridCol w:w="8928"/>
      </w:tblGrid>
      <w:tr w:rsidR="008172FB" w:rsidRPr="008172FB" w14:paraId="31F1B560" w14:textId="77777777" w:rsidTr="008172FB">
        <w:trPr>
          <w:trHeight w:val="576"/>
          <w:jc w:val="center"/>
        </w:trPr>
        <w:tc>
          <w:tcPr>
            <w:tcW w:w="1440" w:type="dxa"/>
            <w:shd w:val="clear" w:color="auto" w:fill="77BC43"/>
            <w:vAlign w:val="center"/>
          </w:tcPr>
          <w:p w14:paraId="0FABD17C" w14:textId="2816F081" w:rsidR="008172FB" w:rsidRPr="008172FB" w:rsidRDefault="008172FB" w:rsidP="008172FB">
            <w:pPr>
              <w:bidi/>
              <w:spacing w:after="0" w:line="240" w:lineRule="auto"/>
              <w:rPr>
                <w:rFonts w:ascii="Calibri" w:hAnsi="Calibri" w:cs="Calibri"/>
                <w:b/>
                <w:bCs/>
                <w:sz w:val="26"/>
                <w:szCs w:val="26"/>
                <w:rtl/>
              </w:rPr>
            </w:pPr>
            <w:r>
              <w:rPr>
                <w:rFonts w:ascii="Calibri" w:hAnsi="Calibri" w:cs="Calibri" w:hint="cs"/>
                <w:b/>
                <w:bCs/>
                <w:sz w:val="26"/>
                <w:szCs w:val="26"/>
                <w:rtl/>
              </w:rPr>
              <w:t>البند الأول</w:t>
            </w:r>
          </w:p>
        </w:tc>
        <w:tc>
          <w:tcPr>
            <w:tcW w:w="8928" w:type="dxa"/>
            <w:shd w:val="clear" w:color="auto" w:fill="F2F2F2" w:themeFill="background1" w:themeFillShade="F2"/>
            <w:vAlign w:val="center"/>
          </w:tcPr>
          <w:p w14:paraId="4D903FF0" w14:textId="77777777" w:rsidR="008172FB" w:rsidRPr="008172FB" w:rsidRDefault="008172FB" w:rsidP="008172FB">
            <w:pPr>
              <w:bidi/>
              <w:spacing w:after="0" w:line="240" w:lineRule="auto"/>
              <w:rPr>
                <w:rFonts w:ascii="Calibri" w:hAnsi="Calibri" w:cs="Calibri"/>
                <w:b/>
                <w:bCs/>
                <w:sz w:val="26"/>
                <w:szCs w:val="26"/>
                <w:rtl/>
              </w:rPr>
            </w:pPr>
            <w:r w:rsidRPr="008172FB">
              <w:rPr>
                <w:rFonts w:ascii="Calibri" w:hAnsi="Calibri" w:cs="Calibri" w:hint="cs"/>
                <w:b/>
                <w:bCs/>
                <w:sz w:val="26"/>
                <w:szCs w:val="26"/>
                <w:rtl/>
              </w:rPr>
              <w:t xml:space="preserve">تم </w:t>
            </w:r>
            <w:r w:rsidRPr="008172FB">
              <w:rPr>
                <w:rFonts w:ascii="Calibri" w:hAnsi="Calibri" w:cs="Calibri"/>
                <w:b/>
                <w:bCs/>
                <w:sz w:val="26"/>
                <w:szCs w:val="26"/>
                <w:rtl/>
              </w:rPr>
              <w:t>الاطلاع على تقرير مجلس إدارة الشركة عن العام المالي المُنتهي في 31-12-2024 ومناقشته.</w:t>
            </w:r>
            <w:r w:rsidRPr="008172FB">
              <w:rPr>
                <w:rFonts w:ascii="Calibri" w:hAnsi="Calibri" w:cs="Calibri" w:hint="cs"/>
                <w:b/>
                <w:bCs/>
                <w:sz w:val="26"/>
                <w:szCs w:val="26"/>
                <w:rtl/>
              </w:rPr>
              <w:t xml:space="preserve"> </w:t>
            </w:r>
          </w:p>
        </w:tc>
      </w:tr>
      <w:tr w:rsidR="008172FB" w:rsidRPr="008172FB" w14:paraId="15ADDB64" w14:textId="77777777" w:rsidTr="008172FB">
        <w:trPr>
          <w:trHeight w:val="576"/>
          <w:jc w:val="center"/>
        </w:trPr>
        <w:tc>
          <w:tcPr>
            <w:tcW w:w="1440" w:type="dxa"/>
            <w:shd w:val="clear" w:color="auto" w:fill="77BC43"/>
            <w:vAlign w:val="center"/>
          </w:tcPr>
          <w:p w14:paraId="20C7FFE4" w14:textId="0730E25C" w:rsidR="008172FB" w:rsidRPr="008172FB" w:rsidRDefault="008172FB" w:rsidP="008172FB">
            <w:pPr>
              <w:bidi/>
              <w:spacing w:after="0" w:line="240" w:lineRule="auto"/>
              <w:rPr>
                <w:rFonts w:ascii="Calibri" w:hAnsi="Calibri" w:cs="Calibri"/>
                <w:b/>
                <w:bCs/>
                <w:sz w:val="26"/>
                <w:szCs w:val="26"/>
                <w:rtl/>
              </w:rPr>
            </w:pPr>
            <w:r>
              <w:rPr>
                <w:rFonts w:ascii="Calibri" w:hAnsi="Calibri" w:cs="Calibri" w:hint="cs"/>
                <w:b/>
                <w:bCs/>
                <w:sz w:val="26"/>
                <w:szCs w:val="26"/>
                <w:rtl/>
              </w:rPr>
              <w:t>البند الثاني</w:t>
            </w:r>
          </w:p>
        </w:tc>
        <w:tc>
          <w:tcPr>
            <w:tcW w:w="8928" w:type="dxa"/>
            <w:shd w:val="clear" w:color="auto" w:fill="auto"/>
            <w:vAlign w:val="center"/>
          </w:tcPr>
          <w:p w14:paraId="33B08367" w14:textId="77777777" w:rsidR="008172FB" w:rsidRPr="008172FB" w:rsidRDefault="008172FB" w:rsidP="008172FB">
            <w:pPr>
              <w:bidi/>
              <w:spacing w:after="0" w:line="240" w:lineRule="auto"/>
              <w:rPr>
                <w:rFonts w:ascii="Calibri" w:hAnsi="Calibri" w:cs="Calibri"/>
                <w:b/>
                <w:bCs/>
                <w:sz w:val="26"/>
                <w:szCs w:val="26"/>
                <w:rtl/>
              </w:rPr>
            </w:pPr>
            <w:r w:rsidRPr="008172FB">
              <w:rPr>
                <w:rFonts w:ascii="Calibri" w:hAnsi="Calibri" w:cs="Calibri" w:hint="cs"/>
                <w:b/>
                <w:bCs/>
                <w:sz w:val="26"/>
                <w:szCs w:val="26"/>
                <w:rtl/>
              </w:rPr>
              <w:t>الموافقة</w:t>
            </w:r>
            <w:r w:rsidRPr="008172FB">
              <w:rPr>
                <w:rFonts w:ascii="Calibri" w:hAnsi="Calibri" w:cs="Calibri"/>
                <w:b/>
                <w:bCs/>
                <w:sz w:val="26"/>
                <w:szCs w:val="26"/>
                <w:rtl/>
              </w:rPr>
              <w:t xml:space="preserve"> على تقرير مراجع حسابات الشركة عن العام المالي المُنتهي في 31-12-2024 بعد مناقشته.</w:t>
            </w:r>
          </w:p>
        </w:tc>
      </w:tr>
      <w:tr w:rsidR="008172FB" w:rsidRPr="008172FB" w14:paraId="31CBCFB6" w14:textId="77777777" w:rsidTr="008172FB">
        <w:trPr>
          <w:trHeight w:val="576"/>
          <w:jc w:val="center"/>
        </w:trPr>
        <w:tc>
          <w:tcPr>
            <w:tcW w:w="1440" w:type="dxa"/>
            <w:shd w:val="clear" w:color="auto" w:fill="77BC43"/>
            <w:vAlign w:val="center"/>
          </w:tcPr>
          <w:p w14:paraId="49C63E0E" w14:textId="254C2504" w:rsidR="008172FB" w:rsidRPr="008172FB" w:rsidRDefault="008172FB" w:rsidP="008172FB">
            <w:pPr>
              <w:bidi/>
              <w:spacing w:after="0" w:line="240" w:lineRule="auto"/>
              <w:rPr>
                <w:rFonts w:ascii="Calibri" w:hAnsi="Calibri" w:cs="Calibri"/>
                <w:b/>
                <w:bCs/>
                <w:sz w:val="26"/>
                <w:szCs w:val="26"/>
                <w:rtl/>
              </w:rPr>
            </w:pPr>
            <w:r>
              <w:rPr>
                <w:rFonts w:ascii="Calibri" w:hAnsi="Calibri" w:cs="Calibri" w:hint="cs"/>
                <w:b/>
                <w:bCs/>
                <w:sz w:val="26"/>
                <w:szCs w:val="26"/>
                <w:rtl/>
              </w:rPr>
              <w:t>البند الثالث</w:t>
            </w:r>
          </w:p>
        </w:tc>
        <w:tc>
          <w:tcPr>
            <w:tcW w:w="8928" w:type="dxa"/>
            <w:shd w:val="clear" w:color="auto" w:fill="F2F2F2" w:themeFill="background1" w:themeFillShade="F2"/>
            <w:vAlign w:val="center"/>
          </w:tcPr>
          <w:p w14:paraId="554777CD" w14:textId="77777777" w:rsidR="008172FB" w:rsidRPr="008172FB" w:rsidRDefault="008172FB" w:rsidP="008172FB">
            <w:pPr>
              <w:bidi/>
              <w:spacing w:after="0" w:line="240" w:lineRule="auto"/>
              <w:rPr>
                <w:rFonts w:ascii="Calibri" w:hAnsi="Calibri" w:cs="Calibri"/>
                <w:b/>
                <w:bCs/>
                <w:sz w:val="26"/>
                <w:szCs w:val="26"/>
                <w:rtl/>
              </w:rPr>
            </w:pPr>
            <w:r w:rsidRPr="008172FB">
              <w:rPr>
                <w:rFonts w:ascii="Calibri" w:hAnsi="Calibri" w:cs="Calibri" w:hint="cs"/>
                <w:b/>
                <w:bCs/>
                <w:sz w:val="26"/>
                <w:szCs w:val="26"/>
                <w:rtl/>
              </w:rPr>
              <w:t xml:space="preserve">تم </w:t>
            </w:r>
            <w:r w:rsidRPr="008172FB">
              <w:rPr>
                <w:rFonts w:ascii="Calibri" w:hAnsi="Calibri" w:cs="Calibri"/>
                <w:b/>
                <w:bCs/>
                <w:sz w:val="26"/>
                <w:szCs w:val="26"/>
                <w:rtl/>
              </w:rPr>
              <w:t>الاطلاع على القوائم المالية للشركة عن العام المالي المُنتهي في 31-12-2024ومناقشتها.</w:t>
            </w:r>
          </w:p>
        </w:tc>
      </w:tr>
      <w:tr w:rsidR="00B23F1B" w:rsidRPr="008172FB" w14:paraId="6A08C4B9" w14:textId="77777777" w:rsidTr="008172FB">
        <w:trPr>
          <w:trHeight w:val="576"/>
          <w:jc w:val="center"/>
        </w:trPr>
        <w:tc>
          <w:tcPr>
            <w:tcW w:w="1440" w:type="dxa"/>
            <w:shd w:val="clear" w:color="auto" w:fill="77BC43"/>
            <w:vAlign w:val="center"/>
          </w:tcPr>
          <w:p w14:paraId="72EC4398" w14:textId="0BB8569D" w:rsidR="00B23F1B" w:rsidRPr="008172FB" w:rsidRDefault="00B23F1B" w:rsidP="00B23F1B">
            <w:pPr>
              <w:bidi/>
              <w:spacing w:after="0" w:line="240" w:lineRule="auto"/>
              <w:rPr>
                <w:rFonts w:ascii="Calibri" w:hAnsi="Calibri" w:cs="Calibri"/>
                <w:b/>
                <w:bCs/>
                <w:sz w:val="26"/>
                <w:szCs w:val="26"/>
                <w:rtl/>
              </w:rPr>
            </w:pPr>
            <w:r>
              <w:rPr>
                <w:rFonts w:ascii="Calibri" w:hAnsi="Calibri" w:cs="Calibri" w:hint="cs"/>
                <w:b/>
                <w:bCs/>
                <w:sz w:val="26"/>
                <w:szCs w:val="26"/>
                <w:rtl/>
              </w:rPr>
              <w:t>البند الرابع</w:t>
            </w:r>
          </w:p>
        </w:tc>
        <w:tc>
          <w:tcPr>
            <w:tcW w:w="8928" w:type="dxa"/>
            <w:shd w:val="clear" w:color="auto" w:fill="auto"/>
            <w:vAlign w:val="center"/>
          </w:tcPr>
          <w:p w14:paraId="6CEA0D2F" w14:textId="2EAAF524" w:rsidR="00B23F1B" w:rsidRPr="008172FB" w:rsidRDefault="00B23F1B" w:rsidP="00B23F1B">
            <w:pPr>
              <w:bidi/>
              <w:spacing w:after="0" w:line="240" w:lineRule="auto"/>
              <w:rPr>
                <w:rFonts w:ascii="Calibri" w:hAnsi="Calibri" w:cs="Calibri"/>
                <w:b/>
                <w:bCs/>
                <w:sz w:val="26"/>
                <w:szCs w:val="26"/>
                <w:rtl/>
              </w:rPr>
            </w:pPr>
            <w:r w:rsidRPr="008172FB">
              <w:rPr>
                <w:rFonts w:ascii="Calibri" w:hAnsi="Calibri" w:cs="Calibri" w:hint="cs"/>
                <w:b/>
                <w:bCs/>
                <w:sz w:val="26"/>
                <w:szCs w:val="26"/>
                <w:rtl/>
              </w:rPr>
              <w:t>الموافقة</w:t>
            </w:r>
            <w:r w:rsidRPr="008172FB">
              <w:rPr>
                <w:rFonts w:ascii="Calibri" w:hAnsi="Calibri" w:cs="Calibri"/>
                <w:b/>
                <w:bCs/>
                <w:sz w:val="26"/>
                <w:szCs w:val="26"/>
                <w:rtl/>
              </w:rPr>
              <w:t xml:space="preserve"> على الأعمال والعقود التي ستتم بين الشركة وشركة مجموعة الزامل القابضة والتي لعضو مجلس الإدارة الأستاذ/ سطام عبد العزيز الزامل مصلحة غير مباشرة فيها (طرف ذي علاقة). علماً بأن مبلغ التعامل لعام 2024 بلغ (31.748.757) ريال سعودي هو عبارة عن تعاملات لشراء منتجات أبرمت بالشروط التجارية السائدة.</w:t>
            </w:r>
          </w:p>
        </w:tc>
      </w:tr>
      <w:tr w:rsidR="00B23F1B" w:rsidRPr="008172FB" w14:paraId="5E45D418" w14:textId="77777777" w:rsidTr="008172FB">
        <w:trPr>
          <w:trHeight w:val="576"/>
          <w:jc w:val="center"/>
        </w:trPr>
        <w:tc>
          <w:tcPr>
            <w:tcW w:w="1440" w:type="dxa"/>
            <w:shd w:val="clear" w:color="auto" w:fill="77BC43"/>
            <w:vAlign w:val="center"/>
          </w:tcPr>
          <w:p w14:paraId="6D6FE8C3" w14:textId="698A93E3" w:rsidR="00B23F1B" w:rsidRPr="008172FB" w:rsidRDefault="00B23F1B" w:rsidP="00B23F1B">
            <w:pPr>
              <w:bidi/>
              <w:spacing w:after="0" w:line="240" w:lineRule="auto"/>
              <w:rPr>
                <w:rFonts w:ascii="Calibri" w:hAnsi="Calibri" w:cs="Calibri"/>
                <w:b/>
                <w:bCs/>
                <w:sz w:val="26"/>
                <w:szCs w:val="26"/>
                <w:rtl/>
              </w:rPr>
            </w:pPr>
            <w:r>
              <w:rPr>
                <w:rFonts w:ascii="Calibri" w:hAnsi="Calibri" w:cs="Calibri" w:hint="cs"/>
                <w:b/>
                <w:bCs/>
                <w:sz w:val="26"/>
                <w:szCs w:val="26"/>
                <w:rtl/>
              </w:rPr>
              <w:t>البند الخامس</w:t>
            </w:r>
          </w:p>
        </w:tc>
        <w:tc>
          <w:tcPr>
            <w:tcW w:w="8928" w:type="dxa"/>
            <w:shd w:val="clear" w:color="auto" w:fill="F2F2F2" w:themeFill="background1" w:themeFillShade="F2"/>
            <w:vAlign w:val="center"/>
          </w:tcPr>
          <w:p w14:paraId="79416ED5" w14:textId="6D4A87C4" w:rsidR="00B23F1B" w:rsidRPr="008172FB" w:rsidRDefault="00B23F1B" w:rsidP="00B23F1B">
            <w:pPr>
              <w:bidi/>
              <w:spacing w:after="0" w:line="240" w:lineRule="auto"/>
              <w:rPr>
                <w:rFonts w:ascii="Calibri" w:hAnsi="Calibri" w:cs="Calibri"/>
                <w:b/>
                <w:bCs/>
                <w:sz w:val="26"/>
                <w:szCs w:val="26"/>
              </w:rPr>
            </w:pPr>
            <w:r w:rsidRPr="008172FB">
              <w:rPr>
                <w:rFonts w:ascii="Calibri" w:hAnsi="Calibri" w:cs="Calibri" w:hint="cs"/>
                <w:b/>
                <w:bCs/>
                <w:sz w:val="26"/>
                <w:szCs w:val="26"/>
                <w:rtl/>
              </w:rPr>
              <w:t>الموافقة</w:t>
            </w:r>
            <w:r w:rsidRPr="008172FB">
              <w:rPr>
                <w:rFonts w:ascii="Calibri" w:hAnsi="Calibri" w:cs="Calibri"/>
                <w:b/>
                <w:bCs/>
                <w:sz w:val="26"/>
                <w:szCs w:val="26"/>
                <w:rtl/>
              </w:rPr>
              <w:t xml:space="preserve"> على الأعمال والعقود التي ستتم بين الشركة وشركة الخليج العربي للإنشاءات والتي لعضو مجلس الإدارة الأستاذ/ سطام عبد العزيز الزامل مصلحة غير مباشرة فيها (طرف ذي علاقة). علماً بأن مبلغ التعامل لعام 2024 بلغ (253.192) ريال سعودي هو عبارة عن تعاملات لبيع منتجات أبرمت بالشروط التجارية السائدة.</w:t>
            </w:r>
          </w:p>
        </w:tc>
      </w:tr>
      <w:tr w:rsidR="00B23F1B" w:rsidRPr="008172FB" w14:paraId="4C3410E7" w14:textId="77777777" w:rsidTr="008172FB">
        <w:trPr>
          <w:trHeight w:val="576"/>
          <w:jc w:val="center"/>
        </w:trPr>
        <w:tc>
          <w:tcPr>
            <w:tcW w:w="1440" w:type="dxa"/>
            <w:shd w:val="clear" w:color="auto" w:fill="77BC43"/>
            <w:vAlign w:val="center"/>
          </w:tcPr>
          <w:p w14:paraId="37E67A28" w14:textId="21D833D0" w:rsidR="00B23F1B" w:rsidRPr="008172FB" w:rsidRDefault="00B23F1B" w:rsidP="00B23F1B">
            <w:pPr>
              <w:bidi/>
              <w:spacing w:after="0" w:line="240" w:lineRule="auto"/>
              <w:rPr>
                <w:rFonts w:ascii="Calibri" w:hAnsi="Calibri" w:cs="Calibri"/>
                <w:b/>
                <w:bCs/>
                <w:sz w:val="26"/>
                <w:szCs w:val="26"/>
                <w:rtl/>
              </w:rPr>
            </w:pPr>
            <w:r>
              <w:rPr>
                <w:rFonts w:ascii="Calibri" w:hAnsi="Calibri" w:cs="Calibri" w:hint="cs"/>
                <w:b/>
                <w:bCs/>
                <w:sz w:val="26"/>
                <w:szCs w:val="26"/>
                <w:rtl/>
              </w:rPr>
              <w:t>البند السادس</w:t>
            </w:r>
          </w:p>
        </w:tc>
        <w:tc>
          <w:tcPr>
            <w:tcW w:w="8928" w:type="dxa"/>
            <w:shd w:val="clear" w:color="auto" w:fill="FFFFFF" w:themeFill="background1"/>
            <w:vAlign w:val="center"/>
          </w:tcPr>
          <w:p w14:paraId="1FE9176A" w14:textId="70F95523" w:rsidR="00B23F1B" w:rsidRPr="008172FB" w:rsidRDefault="00B23F1B" w:rsidP="00B23F1B">
            <w:pPr>
              <w:bidi/>
              <w:spacing w:after="0" w:line="240" w:lineRule="auto"/>
              <w:rPr>
                <w:rFonts w:ascii="Calibri" w:hAnsi="Calibri" w:cs="Calibri"/>
                <w:b/>
                <w:bCs/>
                <w:sz w:val="26"/>
                <w:szCs w:val="26"/>
                <w:rtl/>
              </w:rPr>
            </w:pPr>
            <w:r w:rsidRPr="008172FB">
              <w:rPr>
                <w:rFonts w:ascii="Calibri" w:hAnsi="Calibri" w:cs="Calibri" w:hint="cs"/>
                <w:b/>
                <w:bCs/>
                <w:sz w:val="26"/>
                <w:szCs w:val="26"/>
                <w:rtl/>
              </w:rPr>
              <w:t>الموافقة</w:t>
            </w:r>
            <w:r w:rsidRPr="008172FB">
              <w:rPr>
                <w:rFonts w:ascii="Calibri" w:hAnsi="Calibri" w:cs="Calibri"/>
                <w:b/>
                <w:bCs/>
                <w:sz w:val="26"/>
                <w:szCs w:val="26"/>
                <w:rtl/>
              </w:rPr>
              <w:t xml:space="preserve"> على الأعمال والعقود التي ستتم بين الشركة وشركة مجموعة الزامل القابضة والتي لعضو مجلس الإدارة الأستاذ/ سطام عبد العزيز الزامل مصلحة غير مباشرة فيها (طرف ذي علاقة). علماً بأن مبلغ التعامل لعام 2024</w:t>
            </w:r>
            <w:r w:rsidRPr="008172FB">
              <w:rPr>
                <w:rFonts w:ascii="Calibri" w:hAnsi="Calibri" w:cs="Calibri" w:hint="cs"/>
                <w:b/>
                <w:bCs/>
                <w:sz w:val="26"/>
                <w:szCs w:val="26"/>
                <w:rtl/>
              </w:rPr>
              <w:t xml:space="preserve"> بلغ (</w:t>
            </w:r>
            <w:r w:rsidRPr="008172FB">
              <w:rPr>
                <w:rFonts w:ascii="Calibri" w:hAnsi="Calibri" w:cs="Calibri"/>
                <w:b/>
                <w:bCs/>
                <w:sz w:val="26"/>
                <w:szCs w:val="26"/>
                <w:rtl/>
              </w:rPr>
              <w:t>8.280.426) ريال سعودي هو عبارة عن تعاملات لبيع منتجات أبرمت بالشروط التجارية السائدة.</w:t>
            </w:r>
          </w:p>
        </w:tc>
      </w:tr>
      <w:tr w:rsidR="00B23F1B" w:rsidRPr="008172FB" w14:paraId="542746E6" w14:textId="77777777" w:rsidTr="008172FB">
        <w:trPr>
          <w:trHeight w:val="576"/>
          <w:jc w:val="center"/>
        </w:trPr>
        <w:tc>
          <w:tcPr>
            <w:tcW w:w="1440" w:type="dxa"/>
            <w:shd w:val="clear" w:color="auto" w:fill="77BC43"/>
            <w:vAlign w:val="center"/>
          </w:tcPr>
          <w:p w14:paraId="04794E21" w14:textId="0BD738E9" w:rsidR="00B23F1B" w:rsidRPr="008172FB" w:rsidRDefault="00B23F1B" w:rsidP="00B23F1B">
            <w:pPr>
              <w:bidi/>
              <w:spacing w:after="0" w:line="240" w:lineRule="auto"/>
              <w:rPr>
                <w:rFonts w:ascii="Calibri" w:hAnsi="Calibri" w:cs="Calibri"/>
                <w:b/>
                <w:bCs/>
                <w:sz w:val="26"/>
                <w:szCs w:val="26"/>
                <w:rtl/>
              </w:rPr>
            </w:pPr>
            <w:r>
              <w:rPr>
                <w:rFonts w:ascii="Calibri" w:hAnsi="Calibri" w:cs="Calibri" w:hint="cs"/>
                <w:b/>
                <w:bCs/>
                <w:sz w:val="26"/>
                <w:szCs w:val="26"/>
                <w:rtl/>
              </w:rPr>
              <w:t>البند السابع</w:t>
            </w:r>
          </w:p>
        </w:tc>
        <w:tc>
          <w:tcPr>
            <w:tcW w:w="8928" w:type="dxa"/>
            <w:shd w:val="clear" w:color="auto" w:fill="F2F2F2" w:themeFill="background1" w:themeFillShade="F2"/>
            <w:vAlign w:val="center"/>
          </w:tcPr>
          <w:p w14:paraId="3CB70428" w14:textId="4F882606" w:rsidR="00B23F1B" w:rsidRPr="008172FB" w:rsidRDefault="00B23F1B" w:rsidP="00B23F1B">
            <w:pPr>
              <w:bidi/>
              <w:spacing w:after="0" w:line="240" w:lineRule="auto"/>
              <w:rPr>
                <w:rFonts w:ascii="Calibri" w:hAnsi="Calibri" w:cs="Calibri"/>
                <w:b/>
                <w:bCs/>
                <w:sz w:val="26"/>
                <w:szCs w:val="26"/>
                <w:rtl/>
              </w:rPr>
            </w:pPr>
            <w:r w:rsidRPr="008172FB">
              <w:rPr>
                <w:rFonts w:ascii="Calibri" w:hAnsi="Calibri" w:cs="Calibri" w:hint="cs"/>
                <w:b/>
                <w:bCs/>
                <w:sz w:val="26"/>
                <w:szCs w:val="26"/>
                <w:rtl/>
              </w:rPr>
              <w:t>الموافقة</w:t>
            </w:r>
            <w:r w:rsidRPr="008172FB">
              <w:rPr>
                <w:rFonts w:ascii="Calibri" w:hAnsi="Calibri" w:cs="Calibri"/>
                <w:b/>
                <w:bCs/>
                <w:sz w:val="26"/>
                <w:szCs w:val="26"/>
                <w:rtl/>
              </w:rPr>
              <w:t xml:space="preserve"> على تفويض مجلس إدارة الشركة بصلاحية الجمعية العامة للمساهمين بالترخيص الوارد في الفقرة (1) من المادة </w:t>
            </w:r>
            <w:r w:rsidR="0068423F">
              <w:rPr>
                <w:rFonts w:ascii="Calibri" w:hAnsi="Calibri" w:cs="Calibri" w:hint="cs"/>
                <w:b/>
                <w:bCs/>
                <w:sz w:val="26"/>
                <w:szCs w:val="26"/>
                <w:rtl/>
              </w:rPr>
              <w:t>(27)</w:t>
            </w:r>
            <w:r w:rsidRPr="008172FB">
              <w:rPr>
                <w:rFonts w:ascii="Calibri" w:hAnsi="Calibri" w:cs="Calibri"/>
                <w:b/>
                <w:bCs/>
                <w:sz w:val="26"/>
                <w:szCs w:val="26"/>
                <w:rtl/>
              </w:rPr>
              <w:t xml:space="preserve"> من نظام الشركات، وذلك لمدة عام من تاريخ موافقة الجمعية العامة للمساهمين أو حتى نهاية دورة مجلس الإدارة المفوض أيهما أسبق، وذلك وفقاً للشروط الواردة في اللائحة التنفيذية الصادرة عن هيئة السوق المالية تنفيذاً لنظام الشركات الخاصة بشركات المساهمة المدرجة.</w:t>
            </w:r>
          </w:p>
        </w:tc>
      </w:tr>
    </w:tbl>
    <w:p w14:paraId="4B0FBA45" w14:textId="1887E5DC" w:rsidR="00FC3CF7" w:rsidRPr="00D576CA" w:rsidRDefault="00FC3CF7" w:rsidP="002E6A4B">
      <w:pPr>
        <w:bidi/>
        <w:spacing w:after="0" w:line="240" w:lineRule="auto"/>
        <w:rPr>
          <w:rFonts w:ascii="Calibri" w:hAnsi="Calibri" w:cs="Calibri"/>
          <w:sz w:val="25"/>
          <w:szCs w:val="25"/>
          <w:rtl/>
        </w:rPr>
      </w:pPr>
    </w:p>
    <w:sectPr w:rsidR="00FC3CF7" w:rsidRPr="00D576CA" w:rsidSect="00394CED">
      <w:headerReference w:type="default" r:id="rId8"/>
      <w:footerReference w:type="default" r:id="rId9"/>
      <w:pgSz w:w="11906" w:h="16838" w:code="9"/>
      <w:pgMar w:top="1440" w:right="864" w:bottom="1440" w:left="86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29F5B" w14:textId="77777777" w:rsidR="009701B3" w:rsidRDefault="009701B3" w:rsidP="006E4407">
      <w:pPr>
        <w:spacing w:after="0" w:line="240" w:lineRule="auto"/>
      </w:pPr>
      <w:r>
        <w:separator/>
      </w:r>
    </w:p>
  </w:endnote>
  <w:endnote w:type="continuationSeparator" w:id="0">
    <w:p w14:paraId="5DFE878E" w14:textId="77777777" w:rsidR="009701B3" w:rsidRDefault="009701B3" w:rsidP="006E4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5DBC" w14:textId="328BF0EC" w:rsidR="006E4407" w:rsidRDefault="006E4407">
    <w:pPr>
      <w:pStyle w:val="Footer"/>
    </w:pPr>
    <w:r>
      <w:rPr>
        <w:noProof/>
      </w:rPr>
      <w:drawing>
        <wp:anchor distT="0" distB="0" distL="114300" distR="114300" simplePos="0" relativeHeight="251665408" behindDoc="1" locked="0" layoutInCell="1" allowOverlap="1" wp14:anchorId="3DA64961" wp14:editId="20138CCC">
          <wp:simplePos x="0" y="0"/>
          <wp:positionH relativeFrom="column">
            <wp:posOffset>-654685</wp:posOffset>
          </wp:positionH>
          <wp:positionV relativeFrom="page">
            <wp:posOffset>9020175</wp:posOffset>
          </wp:positionV>
          <wp:extent cx="7770939" cy="1676085"/>
          <wp:effectExtent l="0" t="0" r="1905" b="635"/>
          <wp:wrapNone/>
          <wp:docPr id="568016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1668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0939" cy="16760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33E0A" w14:textId="77777777" w:rsidR="009701B3" w:rsidRDefault="009701B3" w:rsidP="006E4407">
      <w:pPr>
        <w:spacing w:after="0" w:line="240" w:lineRule="auto"/>
      </w:pPr>
      <w:r>
        <w:separator/>
      </w:r>
    </w:p>
  </w:footnote>
  <w:footnote w:type="continuationSeparator" w:id="0">
    <w:p w14:paraId="267332F9" w14:textId="77777777" w:rsidR="009701B3" w:rsidRDefault="009701B3" w:rsidP="006E4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342A4" w14:textId="3DECE2DD" w:rsidR="006E4407" w:rsidRDefault="006E4407">
    <w:pPr>
      <w:pStyle w:val="Header"/>
    </w:pPr>
    <w:r>
      <w:rPr>
        <w:noProof/>
      </w:rPr>
      <w:drawing>
        <wp:anchor distT="0" distB="0" distL="114300" distR="114300" simplePos="0" relativeHeight="251657216" behindDoc="0" locked="0" layoutInCell="1" allowOverlap="1" wp14:anchorId="43C800AA" wp14:editId="3750CD10">
          <wp:simplePos x="0" y="0"/>
          <wp:positionH relativeFrom="column">
            <wp:posOffset>-635635</wp:posOffset>
          </wp:positionH>
          <wp:positionV relativeFrom="page">
            <wp:posOffset>3175</wp:posOffset>
          </wp:positionV>
          <wp:extent cx="7736840" cy="1124585"/>
          <wp:effectExtent l="0" t="0" r="0" b="0"/>
          <wp:wrapSquare wrapText="bothSides"/>
          <wp:docPr id="1048449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44947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6840" cy="1124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51912"/>
    <w:multiLevelType w:val="hybridMultilevel"/>
    <w:tmpl w:val="54ACA666"/>
    <w:lvl w:ilvl="0" w:tplc="35BCC56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653163"/>
    <w:multiLevelType w:val="hybridMultilevel"/>
    <w:tmpl w:val="28F4997A"/>
    <w:lvl w:ilvl="0" w:tplc="7B2E2C3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A053D5"/>
    <w:multiLevelType w:val="hybridMultilevel"/>
    <w:tmpl w:val="CC06BE3E"/>
    <w:lvl w:ilvl="0" w:tplc="FFFFFFFF">
      <w:start w:val="1"/>
      <w:numFmt w:val="decimal"/>
      <w:lvlText w:val="%1."/>
      <w:lvlJc w:val="left"/>
      <w:pPr>
        <w:ind w:left="360" w:hanging="360"/>
      </w:pPr>
      <w:rPr>
        <w:rFonts w:hint="default"/>
      </w:rPr>
    </w:lvl>
    <w:lvl w:ilvl="1" w:tplc="3A903A4C">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D3757B1"/>
    <w:multiLevelType w:val="hybridMultilevel"/>
    <w:tmpl w:val="5A1AFB1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6E34B6"/>
    <w:multiLevelType w:val="hybridMultilevel"/>
    <w:tmpl w:val="E69A1E22"/>
    <w:lvl w:ilvl="0" w:tplc="4EACB6B6">
      <w:numFmt w:val="bullet"/>
      <w:lvlText w:val=""/>
      <w:lvlJc w:val="left"/>
      <w:pPr>
        <w:ind w:left="360" w:hanging="360"/>
      </w:pPr>
      <w:rPr>
        <w:rFonts w:ascii="Symbol" w:eastAsiaTheme="minorHAnsi"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2444CB"/>
    <w:multiLevelType w:val="hybridMultilevel"/>
    <w:tmpl w:val="0DF6DD1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91686696">
    <w:abstractNumId w:val="3"/>
  </w:num>
  <w:num w:numId="2" w16cid:durableId="1819960014">
    <w:abstractNumId w:val="1"/>
  </w:num>
  <w:num w:numId="3" w16cid:durableId="1947544750">
    <w:abstractNumId w:val="0"/>
  </w:num>
  <w:num w:numId="4" w16cid:durableId="120196153">
    <w:abstractNumId w:val="5"/>
  </w:num>
  <w:num w:numId="5" w16cid:durableId="637495372">
    <w:abstractNumId w:val="4"/>
  </w:num>
  <w:num w:numId="6" w16cid:durableId="1276910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07"/>
    <w:rsid w:val="0001784C"/>
    <w:rsid w:val="00066F7C"/>
    <w:rsid w:val="00091DA1"/>
    <w:rsid w:val="000940C0"/>
    <w:rsid w:val="000A26D7"/>
    <w:rsid w:val="000A4912"/>
    <w:rsid w:val="000E0EB4"/>
    <w:rsid w:val="000F7B67"/>
    <w:rsid w:val="00112CD1"/>
    <w:rsid w:val="0013410C"/>
    <w:rsid w:val="001424DC"/>
    <w:rsid w:val="002A2875"/>
    <w:rsid w:val="002B30C3"/>
    <w:rsid w:val="002E1B45"/>
    <w:rsid w:val="002E6A4B"/>
    <w:rsid w:val="002F477D"/>
    <w:rsid w:val="00304E6A"/>
    <w:rsid w:val="003229C0"/>
    <w:rsid w:val="0033279D"/>
    <w:rsid w:val="003902C3"/>
    <w:rsid w:val="00394CED"/>
    <w:rsid w:val="003C07DD"/>
    <w:rsid w:val="003C0F4E"/>
    <w:rsid w:val="003F2A07"/>
    <w:rsid w:val="004214DA"/>
    <w:rsid w:val="00483058"/>
    <w:rsid w:val="004977F5"/>
    <w:rsid w:val="004A3409"/>
    <w:rsid w:val="004E051B"/>
    <w:rsid w:val="00512B57"/>
    <w:rsid w:val="005809DD"/>
    <w:rsid w:val="005822FA"/>
    <w:rsid w:val="00594321"/>
    <w:rsid w:val="00600721"/>
    <w:rsid w:val="0068423F"/>
    <w:rsid w:val="006E4407"/>
    <w:rsid w:val="006F465A"/>
    <w:rsid w:val="00752EF4"/>
    <w:rsid w:val="00764DC1"/>
    <w:rsid w:val="007A7E9F"/>
    <w:rsid w:val="007B6449"/>
    <w:rsid w:val="007D3971"/>
    <w:rsid w:val="007E224C"/>
    <w:rsid w:val="007F021E"/>
    <w:rsid w:val="007F7857"/>
    <w:rsid w:val="008172FB"/>
    <w:rsid w:val="008C0DA1"/>
    <w:rsid w:val="008F29B3"/>
    <w:rsid w:val="009701B3"/>
    <w:rsid w:val="00990F3A"/>
    <w:rsid w:val="009920C7"/>
    <w:rsid w:val="009B4AEA"/>
    <w:rsid w:val="009D6EDE"/>
    <w:rsid w:val="009F2889"/>
    <w:rsid w:val="00A40FF1"/>
    <w:rsid w:val="00AC682A"/>
    <w:rsid w:val="00B06B8E"/>
    <w:rsid w:val="00B23951"/>
    <w:rsid w:val="00B23F1B"/>
    <w:rsid w:val="00BE6C3D"/>
    <w:rsid w:val="00BE7233"/>
    <w:rsid w:val="00C65474"/>
    <w:rsid w:val="00CA2CB5"/>
    <w:rsid w:val="00CB2C40"/>
    <w:rsid w:val="00CD0B30"/>
    <w:rsid w:val="00D34489"/>
    <w:rsid w:val="00D576CA"/>
    <w:rsid w:val="00DC5959"/>
    <w:rsid w:val="00DE3F4E"/>
    <w:rsid w:val="00E420EB"/>
    <w:rsid w:val="00E6129C"/>
    <w:rsid w:val="00E66542"/>
    <w:rsid w:val="00E80B4D"/>
    <w:rsid w:val="00E85839"/>
    <w:rsid w:val="00E86D2E"/>
    <w:rsid w:val="00F22C3A"/>
    <w:rsid w:val="00F23608"/>
    <w:rsid w:val="00F44309"/>
    <w:rsid w:val="00F95903"/>
    <w:rsid w:val="00FC3CF7"/>
    <w:rsid w:val="00FF61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B19D0"/>
  <w15:chartTrackingRefBased/>
  <w15:docId w15:val="{86292AEC-8E6E-634C-B07B-E911AE39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4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4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4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4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4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4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4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407"/>
    <w:rPr>
      <w:rFonts w:eastAsiaTheme="majorEastAsia" w:cstheme="majorBidi"/>
      <w:color w:val="272727" w:themeColor="text1" w:themeTint="D8"/>
    </w:rPr>
  </w:style>
  <w:style w:type="paragraph" w:styleId="Title">
    <w:name w:val="Title"/>
    <w:basedOn w:val="Normal"/>
    <w:next w:val="Normal"/>
    <w:link w:val="TitleChar"/>
    <w:uiPriority w:val="10"/>
    <w:qFormat/>
    <w:rsid w:val="006E4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4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407"/>
    <w:pPr>
      <w:spacing w:before="160"/>
      <w:jc w:val="center"/>
    </w:pPr>
    <w:rPr>
      <w:i/>
      <w:iCs/>
      <w:color w:val="404040" w:themeColor="text1" w:themeTint="BF"/>
    </w:rPr>
  </w:style>
  <w:style w:type="character" w:customStyle="1" w:styleId="QuoteChar">
    <w:name w:val="Quote Char"/>
    <w:basedOn w:val="DefaultParagraphFont"/>
    <w:link w:val="Quote"/>
    <w:uiPriority w:val="29"/>
    <w:rsid w:val="006E4407"/>
    <w:rPr>
      <w:i/>
      <w:iCs/>
      <w:color w:val="404040" w:themeColor="text1" w:themeTint="BF"/>
    </w:rPr>
  </w:style>
  <w:style w:type="paragraph" w:styleId="ListParagraph">
    <w:name w:val="List Paragraph"/>
    <w:basedOn w:val="Normal"/>
    <w:uiPriority w:val="34"/>
    <w:qFormat/>
    <w:rsid w:val="006E4407"/>
    <w:pPr>
      <w:ind w:left="720"/>
      <w:contextualSpacing/>
    </w:pPr>
  </w:style>
  <w:style w:type="character" w:styleId="IntenseEmphasis">
    <w:name w:val="Intense Emphasis"/>
    <w:basedOn w:val="DefaultParagraphFont"/>
    <w:uiPriority w:val="21"/>
    <w:qFormat/>
    <w:rsid w:val="006E4407"/>
    <w:rPr>
      <w:i/>
      <w:iCs/>
      <w:color w:val="0F4761" w:themeColor="accent1" w:themeShade="BF"/>
    </w:rPr>
  </w:style>
  <w:style w:type="paragraph" w:styleId="IntenseQuote">
    <w:name w:val="Intense Quote"/>
    <w:basedOn w:val="Normal"/>
    <w:next w:val="Normal"/>
    <w:link w:val="IntenseQuoteChar"/>
    <w:uiPriority w:val="30"/>
    <w:qFormat/>
    <w:rsid w:val="006E4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407"/>
    <w:rPr>
      <w:i/>
      <w:iCs/>
      <w:color w:val="0F4761" w:themeColor="accent1" w:themeShade="BF"/>
    </w:rPr>
  </w:style>
  <w:style w:type="character" w:styleId="IntenseReference">
    <w:name w:val="Intense Reference"/>
    <w:basedOn w:val="DefaultParagraphFont"/>
    <w:uiPriority w:val="32"/>
    <w:qFormat/>
    <w:rsid w:val="006E4407"/>
    <w:rPr>
      <w:b/>
      <w:bCs/>
      <w:smallCaps/>
      <w:color w:val="0F4761" w:themeColor="accent1" w:themeShade="BF"/>
      <w:spacing w:val="5"/>
    </w:rPr>
  </w:style>
  <w:style w:type="paragraph" w:styleId="Header">
    <w:name w:val="header"/>
    <w:basedOn w:val="Normal"/>
    <w:link w:val="HeaderChar"/>
    <w:uiPriority w:val="99"/>
    <w:unhideWhenUsed/>
    <w:rsid w:val="006E4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407"/>
  </w:style>
  <w:style w:type="paragraph" w:styleId="Footer">
    <w:name w:val="footer"/>
    <w:basedOn w:val="Normal"/>
    <w:link w:val="FooterChar"/>
    <w:uiPriority w:val="99"/>
    <w:unhideWhenUsed/>
    <w:rsid w:val="006E4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25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4B199-FC13-48FE-A12A-DB59F67A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Alzayer / Zamil Industrial Graphic Designer</dc:creator>
  <cp:keywords/>
  <dc:description/>
  <cp:lastModifiedBy>Said Al Daajani / Zamil Industrial Corporate Affairs Director</cp:lastModifiedBy>
  <cp:revision>6</cp:revision>
  <cp:lastPrinted>2024-11-06T11:06:00Z</cp:lastPrinted>
  <dcterms:created xsi:type="dcterms:W3CDTF">2025-04-27T08:41:00Z</dcterms:created>
  <dcterms:modified xsi:type="dcterms:W3CDTF">2025-05-29T07:31:00Z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83b89b-2937-4261-ba51-80c14d7ca553_Enabled">
    <vt:lpwstr>true</vt:lpwstr>
  </property>
  <property fmtid="{D5CDD505-2E9C-101B-9397-08002B2CF9AE}" pid="3" name="MSIP_Label_de83b89b-2937-4261-ba51-80c14d7ca553_SetDate">
    <vt:lpwstr>2024-10-16T08:09:02Z</vt:lpwstr>
  </property>
  <property fmtid="{D5CDD505-2E9C-101B-9397-08002B2CF9AE}" pid="4" name="MSIP_Label_de83b89b-2937-4261-ba51-80c14d7ca553_Method">
    <vt:lpwstr>Standard</vt:lpwstr>
  </property>
  <property fmtid="{D5CDD505-2E9C-101B-9397-08002B2CF9AE}" pid="5" name="MSIP_Label_de83b89b-2937-4261-ba51-80c14d7ca553_Name">
    <vt:lpwstr>de83b89b-2937-4261-ba51-80c14d7ca553</vt:lpwstr>
  </property>
  <property fmtid="{D5CDD505-2E9C-101B-9397-08002B2CF9AE}" pid="6" name="MSIP_Label_de83b89b-2937-4261-ba51-80c14d7ca553_SiteId">
    <vt:lpwstr>cfdb9f84-010a-4951-9bfc-0335b2ab3bb5</vt:lpwstr>
  </property>
  <property fmtid="{D5CDD505-2E9C-101B-9397-08002B2CF9AE}" pid="7" name="MSIP_Label_de83b89b-2937-4261-ba51-80c14d7ca553_ActionId">
    <vt:lpwstr>a2355ecb-e18d-4f3c-bf7f-2bed57e217fb</vt:lpwstr>
  </property>
  <property fmtid="{D5CDD505-2E9C-101B-9397-08002B2CF9AE}" pid="8" name="MSIP_Label_de83b89b-2937-4261-ba51-80c14d7ca553_ContentBits">
    <vt:lpwstr>0</vt:lpwstr>
  </property>
</Properties>
</file>